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3"/>
        <w:ind w:left="29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21</w:t>
      </w:r>
      <w:r>
        <w:rPr>
          <w:rFonts w:ascii="Times New Roman" w:hAnsi="Times New Roman"/>
          <w:sz w:val="22"/>
          <w:szCs w:val="22"/>
          <w:highlight w:val="white"/>
        </w:rPr>
        <w:t>.0</w:t>
      </w:r>
      <w:r>
        <w:rPr>
          <w:rFonts w:ascii="Times New Roman" w:hAnsi="Times New Roman"/>
          <w:sz w:val="22"/>
          <w:szCs w:val="22"/>
          <w:highlight w:val="white"/>
        </w:rPr>
        <w:t>6</w:t>
      </w:r>
      <w:r>
        <w:rPr>
          <w:rFonts w:ascii="Times New Roman" w:hAnsi="Times New Roman"/>
          <w:sz w:val="22"/>
          <w:szCs w:val="22"/>
        </w:rPr>
        <w:t xml:space="preserve">.2022 r.  </w:t>
      </w:r>
      <w:r>
        <w:rPr>
          <w:rFonts w:eastAsia="" w:ascii="Times New Roman" w:hAnsi="Times New Roman" w:eastAsiaTheme="minorEastAsia"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/0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/2022 „</w:t>
      </w:r>
      <w:r>
        <w:rPr>
          <w:rFonts w:cs="Times New Roman" w:ascii="Times New Roman" w:hAnsi="Times New Roman"/>
          <w:b/>
          <w:bCs/>
          <w:iCs/>
          <w:color w:val="auto"/>
          <w:sz w:val="22"/>
          <w:szCs w:val="22"/>
          <w:highlight w:val="white"/>
        </w:rPr>
        <w:t>usługa całodobowej, codziennej konserwacji, obsługi i naprawy instalacji elektrycznej, instalacji CO, CW, wod-kan, kotłowni gazowej, wentylacji i klimatyzacji, gazów medycznych, sieci wodociągowej i hydrantowej oraz sieci kanalizacji sanitarnej w obiektach Zespołu Opieki Zdrowotnej w Pińczowie przy ul. Armii Krajowej 22.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”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publicznych, zwanej dale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oferta nr 2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>Przedsiębiorstwo handlowo-usługowe Deco-Therm Adrian Dekiel Dębno 40A, 26-006 Nowa Słupia NIP: 657-285-53-84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Cena: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>687 570,00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 zł brutto,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Liczba punktów: Cena –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60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 pkt,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płatności: 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0 dni, </w:t>
      </w:r>
      <w:r>
        <w:rPr>
          <w:rFonts w:ascii="Times New Roman" w:hAnsi="Times New Roman"/>
          <w:bCs/>
          <w:sz w:val="22"/>
          <w:szCs w:val="22"/>
        </w:rPr>
        <w:t>Liczba punktów: Termin płatności – 40 pkt,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Łączna liczba punktów: </w:t>
      </w:r>
      <w:r>
        <w:rPr>
          <w:rFonts w:ascii="Times New Roman" w:hAnsi="Times New Roman"/>
          <w:bCs/>
          <w:sz w:val="22"/>
          <w:szCs w:val="22"/>
        </w:rPr>
        <w:t>100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spacing w:lineRule="auto" w:line="276" w:before="0" w:after="0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sz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- 60%,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40%.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W postępowaniu zostały złożone dwie oferty, najwyższą liczbę punktów otrzymała oferta nr 2. 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Ponadto Zamawiający przedstawia nazwy (firmy), siedziby i adresy wykonawców, którzy złożyli oferty, a także punktację przyznaną ofertom w każdym kryterium oceny ofert i łączną punktację:</w:t>
      </w:r>
    </w:p>
    <w:tbl>
      <w:tblPr>
        <w:tblW w:w="9664" w:type="dxa"/>
        <w:jc w:val="left"/>
        <w:tblInd w:w="112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4"/>
        <w:gridCol w:w="3945"/>
        <w:gridCol w:w="2188"/>
        <w:gridCol w:w="2217"/>
      </w:tblGrid>
      <w:tr>
        <w:trPr/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984" w:hRule="atLeast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ind w:left="0" w:right="0" w:hanging="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Lireco Tech Spółka z ograniczoną odpowiedzialnością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ul. Grochowa 10, 81-017 Gdynia,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NIP 958 171 09 42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563 064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zł netto; 692 568,72 zł brutto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  <w:tr>
        <w:trPr>
          <w:trHeight w:val="984" w:hRule="atLeast"/>
        </w:trPr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Przedsiębiorstwo handlowo-usługowe Deco-Therm Adrian Dekiel Dębno 40A, 26-006 Nowa Słupia NIP: 657-285-53-84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559 000 zł netto; 687 570,00 zł brutto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4754" w:type="dxa"/>
        <w:jc w:val="left"/>
        <w:tblInd w:w="-3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7"/>
        <w:gridCol w:w="2334"/>
        <w:gridCol w:w="2496"/>
        <w:gridCol w:w="9147"/>
      </w:tblGrid>
      <w:tr>
        <w:trPr>
          <w:trHeight w:val="689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brutto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terminu płatności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Razem</w:t>
            </w:r>
          </w:p>
        </w:tc>
      </w:tr>
      <w:tr>
        <w:trPr>
          <w:trHeight w:val="60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147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59,56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4</w:t>
            </w: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0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99,56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60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40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100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Art. 308 Ustawy Prawo Zamówień Publicznych</w:t>
        <w:br/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3. Zamawiający może zawrzeć umowę w sprawie zamówienia publicznego przed upływem</w:t>
        <w:br/>
        <w:t>terminu, o którym mowa w ust. 2, jeżeli:</w:t>
        <w:br/>
        <w:t>pkt 1) w postępowaniu o udzielenie zamówienia prowadzonym w trybie:</w:t>
        <w:br/>
        <w:t>lit a) podstawowym złożono tylko jedną ofertę,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Dyrektor ZOZ w Pińczowie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 LibreOffice_project/1ec314fa52f458adc18c4f025c545a4e8b22c159</Application>
  <Pages>2</Pages>
  <Words>398</Words>
  <Characters>2399</Characters>
  <CharactersWithSpaces>2765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2022-06-21T08:43:19Z</cp:lastPrinted>
  <dcterms:modified xsi:type="dcterms:W3CDTF">2022-06-21T08:43:25Z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